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50" w:lineRule="auto"/>
      </w:pPr>
      <w:r>
        <w:rPr>
          <w:rFonts w:ascii="Aptos" w:hAnsi="Aptos"/>
          <w:b/>
          <w:color w:val="1A3251"/>
          <w:sz w:val="40"/>
        </w:rPr>
        <w:t>KHALID GABR</w:t>
      </w:r>
    </w:p>
    <w:p>
      <w:pPr>
        <w:spacing w:before="0" w:after="40" w:line="250" w:lineRule="auto"/>
      </w:pPr>
      <w:r>
        <w:rPr>
          <w:rFonts w:ascii="Aptos" w:hAnsi="Aptos"/>
          <w:b/>
          <w:color w:val="187D7F"/>
          <w:sz w:val="18"/>
        </w:rPr>
        <w:t>FINANCIAL SERVICES &amp; FINTECH EXECUTIVE | DIGITAL TRANSFORMATION | PRODUCT &amp; ADVISORY LEADERSHIP</w:t>
      </w:r>
    </w:p>
    <w:p>
      <w:pPr>
        <w:spacing w:before="0" w:after="0" w:line="250" w:lineRule="auto"/>
      </w:pPr>
      <w:r>
        <w:rPr>
          <w:rFonts w:ascii="Aptos" w:hAnsi="Aptos"/>
          <w:b w:val="0"/>
          <w:color w:val="5F6871"/>
          <w:sz w:val="16"/>
        </w:rPr>
        <w:t>Egypt · UAE / MENA mobility  |  +20 100 366 0676  |  +962 770 222 397 (WhatsApp)</w:t>
      </w:r>
    </w:p>
    <w:p>
      <w:pPr>
        <w:spacing w:before="0" w:after="60" w:line="250" w:lineRule="auto"/>
      </w:pPr>
      <w:r>
        <w:rPr>
          <w:rFonts w:ascii="Aptos" w:hAnsi="Aptos"/>
          <w:b w:val="0"/>
          <w:color w:val="5F6871"/>
          <w:sz w:val="16"/>
        </w:rPr>
        <w:t>khalid.gabr@cashlinemena.com  |  linkedin.com/in/khalid-gabr-28724546</w:t>
      </w:r>
    </w:p>
    <w:p>
      <w:pPr>
        <w:spacing w:before="140" w:after="60" w:line="250" w:lineRule="auto"/>
        <w:pBdr>
          <w:bottom w:val="single" w:sz="5" w:color="C8DDDC"/>
        </w:pBdr>
      </w:pPr>
      <w:r>
        <w:rPr>
          <w:rFonts w:ascii="Aptos" w:hAnsi="Aptos"/>
          <w:b/>
          <w:color w:val="187D7F"/>
          <w:sz w:val="20"/>
        </w:rPr>
        <w:t>EXECUTIVE PROFILE</w:t>
      </w:r>
    </w:p>
    <w:p>
      <w:pPr>
        <w:spacing w:before="0" w:after="60" w:line="250" w:lineRule="auto"/>
      </w:pPr>
      <w:r>
        <w:rPr>
          <w:rFonts w:ascii="Aptos" w:hAnsi="Aptos"/>
          <w:b w:val="0"/>
          <w:color w:val="1A3251"/>
          <w:sz w:val="17"/>
        </w:rPr>
        <w:t>Financial-services executive with 20+ years across the UAE and MENA in banking, payments, remittances, fintech, commercial growth and transformation. Combines institution-building and senior stakeholder leadership with practical product/operating-model design, payment technology implementation and business requirements development. Experienced in partnering with regulators, financial institutions, investors, product and technology teams to take complex financial-services initiatives from business case through operational launch.</w:t>
      </w:r>
    </w:p>
    <w:p>
      <w:pPr>
        <w:spacing w:before="140" w:after="60" w:line="250" w:lineRule="auto"/>
        <w:pBdr>
          <w:bottom w:val="single" w:sz="5" w:color="C8DDDC"/>
        </w:pBdr>
      </w:pPr>
      <w:r>
        <w:rPr>
          <w:rFonts w:ascii="Aptos" w:hAnsi="Aptos"/>
          <w:b/>
          <w:color w:val="187D7F"/>
          <w:sz w:val="20"/>
        </w:rPr>
        <w:t>SELECTED LEADERSHIP OUTCOMES</w:t>
      </w:r>
    </w:p>
    <w:p>
      <w:pPr>
        <w:pStyle w:val="ListBullet"/>
        <w:spacing w:after="20" w:line="245" w:lineRule="auto"/>
        <w:ind w:left="288" w:hanging="158"/>
      </w:pPr>
      <w:r>
        <w:rPr>
          <w:rFonts w:ascii="Aptos" w:hAnsi="Aptos"/>
          <w:sz w:val="17"/>
        </w:rPr>
        <w:t>Xpress Money: grew Jordan agent network 32 → 140 and annual transactions 72,000 → 350,000; Yemen agent network 110 → 400 and annual transactions 120,000 → 480,000 (2011–2014).</w:t>
      </w:r>
    </w:p>
    <w:p>
      <w:pPr>
        <w:pStyle w:val="ListBullet"/>
        <w:spacing w:after="20" w:line="245" w:lineRule="auto"/>
        <w:ind w:left="288" w:hanging="158"/>
      </w:pPr>
      <w:r>
        <w:rPr>
          <w:rFonts w:ascii="Aptos" w:hAnsi="Aptos"/>
          <w:sz w:val="17"/>
        </w:rPr>
        <w:t>Hadhramout Bank: led establishment and growth from operations launch in 2023 to 6 total branches, 6,000+ retail accounts, 30,000+ salary accounts and 120+ corporate accounts; reported USD 3.5m annual revenue for 2024/25.</w:t>
      </w:r>
    </w:p>
    <w:p>
      <w:pPr>
        <w:pStyle w:val="ListBullet"/>
        <w:spacing w:after="20" w:line="245" w:lineRule="auto"/>
        <w:ind w:left="288" w:hanging="158"/>
      </w:pPr>
      <w:r>
        <w:rPr>
          <w:rFonts w:ascii="Aptos" w:hAnsi="Aptos"/>
          <w:sz w:val="17"/>
        </w:rPr>
        <w:t>Led live card-issuing, ATM and POS-acquiring capabilities, including multi-currency and cash-in/cash-out channels; developed issuer pricing, interchange-related economics and profitability considerations.</w:t>
      </w:r>
    </w:p>
    <w:p>
      <w:pPr>
        <w:pStyle w:val="ListBullet"/>
        <w:spacing w:after="20" w:line="245" w:lineRule="auto"/>
        <w:ind w:left="288" w:hanging="158"/>
      </w:pPr>
      <w:r>
        <w:rPr>
          <w:rFonts w:ascii="Aptos" w:hAnsi="Aptos"/>
          <w:sz w:val="17"/>
        </w:rPr>
        <w:t>CashLine MENA: founder-led fintech platform development, market validation and partnerships; approximately USD 450,000 seed funding raised.</w:t>
      </w:r>
    </w:p>
    <w:p>
      <w:pPr>
        <w:spacing w:before="140" w:after="60" w:line="250" w:lineRule="auto"/>
        <w:pBdr>
          <w:bottom w:val="single" w:sz="5" w:color="C8DDDC"/>
        </w:pBdr>
      </w:pPr>
      <w:r>
        <w:rPr>
          <w:rFonts w:ascii="Aptos" w:hAnsi="Aptos"/>
          <w:b/>
          <w:color w:val="187D7F"/>
          <w:sz w:val="20"/>
        </w:rPr>
        <w:t>PRACTICE / LEADERSHIP CAPABILITIES</w:t>
      </w:r>
    </w:p>
    <w:p>
      <w:pPr>
        <w:spacing w:before="0" w:after="40" w:line="250" w:lineRule="auto"/>
      </w:pPr>
      <w:r>
        <w:rPr>
          <w:rFonts w:ascii="Aptos" w:hAnsi="Aptos"/>
          <w:b w:val="0"/>
          <w:color w:val="1A3251"/>
          <w:sz w:val="17"/>
        </w:rPr>
        <w:t>Financial Services Strategy &amp; Advisory  •  Digital Banking &amp; Payments  •  Product Commercialization  •  Operating Models &amp; Process Transformation  •  Business / System Requirements  •  Program &amp; Stakeholder Leadership  •  Governance, Risk &amp; Compliance Collaboration  •  Client Development &amp; Partnerships  •  Applied AI for Business Workflows</w:t>
      </w:r>
    </w:p>
    <w:p>
      <w:pPr>
        <w:spacing w:before="140" w:after="60" w:line="250" w:lineRule="auto"/>
        <w:pBdr>
          <w:bottom w:val="single" w:sz="5" w:color="C8DDDC"/>
        </w:pBdr>
      </w:pPr>
      <w:r>
        <w:rPr>
          <w:rFonts w:ascii="Aptos" w:hAnsi="Aptos"/>
          <w:b/>
          <w:color w:val="187D7F"/>
          <w:sz w:val="20"/>
        </w:rPr>
        <w:t>PROFESSIONAL EXPERIENCE</w:t>
      </w:r>
    </w:p>
    <w:p>
      <w:pPr>
        <w:spacing w:before="80" w:after="0" w:line="250" w:lineRule="auto"/>
      </w:pPr>
      <w:r>
        <w:rPr>
          <w:rFonts w:ascii="Aptos" w:hAnsi="Aptos"/>
          <w:b/>
          <w:color w:val="1A3251"/>
          <w:sz w:val="18"/>
        </w:rPr>
        <w:t>Founder &amp; CEO — CashLine MENA</w:t>
      </w:r>
    </w:p>
    <w:p>
      <w:pPr>
        <w:spacing w:before="0" w:after="20" w:line="250" w:lineRule="auto"/>
      </w:pPr>
      <w:r>
        <w:rPr>
          <w:rFonts w:ascii="Aptos" w:hAnsi="Aptos"/>
          <w:b w:val="0"/>
          <w:color w:val="5F6871"/>
          <w:sz w:val="16"/>
        </w:rPr>
        <w:t>Egypt / UAE / MENA  |  2022–Present</w:t>
      </w:r>
    </w:p>
    <w:p>
      <w:pPr>
        <w:pStyle w:val="ListBullet"/>
        <w:spacing w:after="20" w:line="245" w:lineRule="auto"/>
        <w:ind w:left="288" w:hanging="158"/>
      </w:pPr>
      <w:r>
        <w:rPr>
          <w:rFonts w:ascii="Aptos" w:hAnsi="Aptos"/>
          <w:sz w:val="17"/>
        </w:rPr>
        <w:t>Founded a fintech venture designed to digitize cash-based merchant trade flows and financial-services workflows; led business model, user journeys, operating rules and go-to-market discussions.</w:t>
      </w:r>
    </w:p>
    <w:p>
      <w:pPr>
        <w:pStyle w:val="ListBullet"/>
        <w:spacing w:after="20" w:line="245" w:lineRule="auto"/>
        <w:ind w:left="288" w:hanging="158"/>
      </w:pPr>
      <w:r>
        <w:rPr>
          <w:rFonts w:ascii="Aptos" w:hAnsi="Aptos"/>
          <w:sz w:val="17"/>
        </w:rPr>
        <w:t>Directed cross-functional work on platform/business requirements, partner engagement, market opportunities and financial-services product propositions; developed applied AI-assisted workflows and knowledge-platform concepts.</w:t>
      </w:r>
    </w:p>
    <w:p>
      <w:pPr>
        <w:spacing w:before="80" w:after="0" w:line="250" w:lineRule="auto"/>
      </w:pPr>
      <w:r>
        <w:rPr>
          <w:rFonts w:ascii="Aptos" w:hAnsi="Aptos"/>
          <w:b/>
          <w:color w:val="1A3251"/>
          <w:sz w:val="18"/>
        </w:rPr>
        <w:t>General Manager — Hadhramout Bank (Islamic Bank)</w:t>
      </w:r>
    </w:p>
    <w:p>
      <w:pPr>
        <w:spacing w:before="0" w:after="20" w:line="250" w:lineRule="auto"/>
      </w:pPr>
      <w:r>
        <w:rPr>
          <w:rFonts w:ascii="Aptos" w:hAnsi="Aptos"/>
          <w:b w:val="0"/>
          <w:color w:val="5F6871"/>
          <w:sz w:val="16"/>
        </w:rPr>
        <w:t>Yemen  |  Sep 2021–Apr 2025</w:t>
      </w:r>
    </w:p>
    <w:p>
      <w:pPr>
        <w:pStyle w:val="ListBullet"/>
        <w:spacing w:after="20" w:line="245" w:lineRule="auto"/>
        <w:ind w:left="288" w:hanging="158"/>
      </w:pPr>
      <w:r>
        <w:rPr>
          <w:rFonts w:ascii="Aptos" w:hAnsi="Aptos"/>
          <w:sz w:val="17"/>
        </w:rPr>
        <w:t>Led greenfield bank establishment: strategic roadmap, regulatory engagement, operating model, governance, team buildout, technology selection and launch execution.</w:t>
      </w:r>
    </w:p>
    <w:p>
      <w:pPr>
        <w:pStyle w:val="ListBullet"/>
        <w:spacing w:after="20" w:line="245" w:lineRule="auto"/>
        <w:ind w:left="288" w:hanging="158"/>
      </w:pPr>
      <w:r>
        <w:rPr>
          <w:rFonts w:ascii="Aptos" w:hAnsi="Aptos"/>
          <w:sz w:val="17"/>
        </w:rPr>
        <w:t>Oversaw live card issuing, POS acquiring and ATM services; developed card-product economics and coordinated issuing activity with CSC Jordan and financial-service partners.</w:t>
      </w:r>
    </w:p>
    <w:p>
      <w:pPr>
        <w:pStyle w:val="ListBullet"/>
        <w:spacing w:after="20" w:line="245" w:lineRule="auto"/>
        <w:ind w:left="288" w:hanging="158"/>
      </w:pPr>
      <w:r>
        <w:rPr>
          <w:rFonts w:ascii="Aptos" w:hAnsi="Aptos"/>
          <w:sz w:val="17"/>
        </w:rPr>
        <w:t>Established correspondent banking relationships across Oman, Jordan, UAE, Turkey and UK, while driving customer acquisition, channel expansion and new product development, including physical-gold-linked retail accounts.</w:t>
      </w:r>
    </w:p>
    <w:p>
      <w:r>
        <w:br w:type="page"/>
      </w:r>
    </w:p>
    <w:p>
      <w:pPr>
        <w:spacing w:before="0" w:after="80" w:line="250" w:lineRule="auto"/>
      </w:pPr>
      <w:r>
        <w:rPr>
          <w:rFonts w:ascii="Aptos" w:hAnsi="Aptos"/>
          <w:b/>
          <w:color w:val="187D7F"/>
          <w:sz w:val="18"/>
        </w:rPr>
        <w:t>KHALID GABR  |  FINANCIAL SERVICES &amp; FINTECH EXECUTIVE</w:t>
      </w:r>
    </w:p>
    <w:p>
      <w:pPr>
        <w:spacing w:before="140" w:after="60" w:line="250" w:lineRule="auto"/>
        <w:pBdr>
          <w:bottom w:val="single" w:sz="5" w:color="C8DDDC"/>
        </w:pBdr>
      </w:pPr>
      <w:r>
        <w:rPr>
          <w:rFonts w:ascii="Aptos" w:hAnsi="Aptos"/>
          <w:b/>
          <w:color w:val="187D7F"/>
          <w:sz w:val="20"/>
        </w:rPr>
        <w:t>PROFESSIONAL EXPERIENCE — CONTINUED</w:t>
      </w:r>
    </w:p>
    <w:p>
      <w:pPr>
        <w:spacing w:before="80" w:after="0" w:line="250" w:lineRule="auto"/>
      </w:pPr>
      <w:r>
        <w:rPr>
          <w:rFonts w:ascii="Aptos" w:hAnsi="Aptos"/>
          <w:b/>
          <w:color w:val="1A3251"/>
          <w:sz w:val="18"/>
        </w:rPr>
        <w:t>Head of Remittances &amp; Digital Transformation Strategy — Egyptian Arab Land Bank</w:t>
      </w:r>
    </w:p>
    <w:p>
      <w:pPr>
        <w:spacing w:before="0" w:after="20" w:line="250" w:lineRule="auto"/>
      </w:pPr>
      <w:r>
        <w:rPr>
          <w:rFonts w:ascii="Aptos" w:hAnsi="Aptos"/>
          <w:b w:val="0"/>
          <w:color w:val="5F6871"/>
          <w:sz w:val="16"/>
        </w:rPr>
        <w:t>Jordan  |  Aug 2018–Late 2020</w:t>
      </w:r>
    </w:p>
    <w:p>
      <w:pPr>
        <w:pStyle w:val="ListBullet"/>
        <w:spacing w:after="20" w:line="245" w:lineRule="auto"/>
        <w:ind w:left="288" w:hanging="158"/>
      </w:pPr>
      <w:r>
        <w:rPr>
          <w:rFonts w:ascii="Aptos" w:hAnsi="Aptos"/>
          <w:sz w:val="17"/>
        </w:rPr>
        <w:t>Led remittance growth, financial inclusion and banking transformation initiatives, turning market needs into business propositions, process changes and institutional opportunities.</w:t>
      </w:r>
    </w:p>
    <w:p>
      <w:pPr>
        <w:pStyle w:val="ListBullet"/>
        <w:spacing w:after="20" w:line="245" w:lineRule="auto"/>
        <w:ind w:left="288" w:hanging="158"/>
      </w:pPr>
      <w:r>
        <w:rPr>
          <w:rFonts w:ascii="Aptos" w:hAnsi="Aptos"/>
          <w:sz w:val="17"/>
        </w:rPr>
        <w:t>Engaged Mastercard country management and payment partners on debit, prepaid and credit-card propositions, commercial arrangements, issuer fees and portfolio economics.</w:t>
      </w:r>
    </w:p>
    <w:p>
      <w:pPr>
        <w:spacing w:before="80" w:after="0" w:line="250" w:lineRule="auto"/>
      </w:pPr>
      <w:r>
        <w:rPr>
          <w:rFonts w:ascii="Aptos" w:hAnsi="Aptos"/>
          <w:b/>
          <w:color w:val="1A3251"/>
          <w:sz w:val="18"/>
        </w:rPr>
        <w:t>Head of Business Development, Arab Countries / MENA — BFC Group</w:t>
      </w:r>
    </w:p>
    <w:p>
      <w:pPr>
        <w:spacing w:before="0" w:after="20" w:line="250" w:lineRule="auto"/>
      </w:pPr>
      <w:r>
        <w:rPr>
          <w:rFonts w:ascii="Aptos" w:hAnsi="Aptos"/>
          <w:b w:val="0"/>
          <w:color w:val="5F6871"/>
          <w:sz w:val="16"/>
        </w:rPr>
        <w:t>Bahrain  |  Jun 2014–2018</w:t>
      </w:r>
    </w:p>
    <w:p>
      <w:pPr>
        <w:pStyle w:val="ListBullet"/>
        <w:spacing w:after="20" w:line="245" w:lineRule="auto"/>
        <w:ind w:left="288" w:hanging="158"/>
      </w:pPr>
      <w:r>
        <w:rPr>
          <w:rFonts w:ascii="Aptos" w:hAnsi="Aptos"/>
          <w:sz w:val="17"/>
        </w:rPr>
        <w:t>Led regional financial-services network development, agent acquisition, cross-border remittance corridors and strategic partnerships across Arab markets.</w:t>
      </w:r>
    </w:p>
    <w:p>
      <w:pPr>
        <w:pStyle w:val="ListBullet"/>
        <w:spacing w:after="20" w:line="245" w:lineRule="auto"/>
        <w:ind w:left="288" w:hanging="158"/>
      </w:pPr>
      <w:r>
        <w:rPr>
          <w:rFonts w:ascii="Aptos" w:hAnsi="Aptos"/>
          <w:sz w:val="17"/>
        </w:rPr>
        <w:t>Supported market and commercial initiatives, participating in the preparatory work for BFC Bank in the UK and co-founding payment fintech Vapulus.</w:t>
      </w:r>
    </w:p>
    <w:p>
      <w:pPr>
        <w:spacing w:before="80" w:after="0" w:line="250" w:lineRule="auto"/>
      </w:pPr>
      <w:r>
        <w:rPr>
          <w:rFonts w:ascii="Aptos" w:hAnsi="Aptos"/>
          <w:b/>
          <w:color w:val="1A3251"/>
          <w:sz w:val="18"/>
        </w:rPr>
        <w:t>Operations, Compliance &amp; Regional Business Development — UAE Exchange Group / Xpress Money</w:t>
      </w:r>
    </w:p>
    <w:p>
      <w:pPr>
        <w:spacing w:before="0" w:after="20" w:line="250" w:lineRule="auto"/>
      </w:pPr>
      <w:r>
        <w:rPr>
          <w:rFonts w:ascii="Aptos" w:hAnsi="Aptos"/>
          <w:b w:val="0"/>
          <w:color w:val="5F6871"/>
          <w:sz w:val="16"/>
        </w:rPr>
        <w:t>UAE / Arab Mashreq  |  2004–2014</w:t>
      </w:r>
    </w:p>
    <w:p>
      <w:pPr>
        <w:pStyle w:val="ListBullet"/>
        <w:spacing w:after="20" w:line="245" w:lineRule="auto"/>
        <w:ind w:left="288" w:hanging="158"/>
      </w:pPr>
      <w:r>
        <w:rPr>
          <w:rFonts w:ascii="Aptos" w:hAnsi="Aptos"/>
          <w:sz w:val="17"/>
        </w:rPr>
        <w:t>Progressed from branch/frontline roles to compliance, international operations, Assistant COO responsibilities and Business Development Manager for Arab Mashreq.</w:t>
      </w:r>
    </w:p>
    <w:p>
      <w:pPr>
        <w:pStyle w:val="ListBullet"/>
        <w:spacing w:after="20" w:line="245" w:lineRule="auto"/>
        <w:ind w:left="288" w:hanging="158"/>
      </w:pPr>
      <w:r>
        <w:rPr>
          <w:rFonts w:ascii="Aptos" w:hAnsi="Aptos"/>
          <w:sz w:val="17"/>
        </w:rPr>
        <w:t>Expanded agent networks and transaction activity in Jordan and Yemen; developed partner relationships and practical expertise in onboarding, transaction lifecycle, settlement, reports and controls.</w:t>
      </w:r>
    </w:p>
    <w:p>
      <w:pPr>
        <w:spacing w:before="140" w:after="60" w:line="250" w:lineRule="auto"/>
        <w:pBdr>
          <w:bottom w:val="single" w:sz="5" w:color="C8DDDC"/>
        </w:pBdr>
      </w:pPr>
      <w:r>
        <w:rPr>
          <w:rFonts w:ascii="Aptos" w:hAnsi="Aptos"/>
          <w:b/>
          <w:color w:val="187D7F"/>
          <w:sz w:val="20"/>
        </w:rPr>
        <w:t>SELECTED CONSULTING, PRODUCT &amp; TECHNOLOGY EXPOSURE</w:t>
      </w:r>
    </w:p>
    <w:p>
      <w:pPr>
        <w:pStyle w:val="ListBullet"/>
        <w:spacing w:after="20" w:line="245" w:lineRule="auto"/>
        <w:ind w:left="288" w:hanging="158"/>
      </w:pPr>
      <w:r>
        <w:rPr>
          <w:rFonts w:ascii="Aptos" w:hAnsi="Aptos"/>
          <w:sz w:val="17"/>
        </w:rPr>
        <w:t>Bank transformation: greenfield governance, organizational design, product strategy, operational controls, core banking and payments implementation, testing and operational readiness.</w:t>
      </w:r>
    </w:p>
    <w:p>
      <w:pPr>
        <w:pStyle w:val="ListBullet"/>
        <w:spacing w:after="20" w:line="245" w:lineRule="auto"/>
        <w:ind w:left="288" w:hanging="158"/>
      </w:pPr>
      <w:r>
        <w:rPr>
          <w:rFonts w:ascii="Aptos" w:hAnsi="Aptos"/>
          <w:sz w:val="17"/>
        </w:rPr>
        <w:t>Solutions analysis: BRDs/URDs, customer journeys, payment workflows, settlement/reconciliation logic, fintech integration requirements and platform operating rules.</w:t>
      </w:r>
    </w:p>
    <w:p>
      <w:pPr>
        <w:pStyle w:val="ListBullet"/>
        <w:spacing w:after="20" w:line="245" w:lineRule="auto"/>
        <w:ind w:left="288" w:hanging="158"/>
      </w:pPr>
      <w:r>
        <w:rPr>
          <w:rFonts w:ascii="Aptos" w:hAnsi="Aptos"/>
          <w:sz w:val="17"/>
        </w:rPr>
        <w:t>AI-enabled business work: practitioner-led exploration of AI agents, grounded knowledge systems, responsible adoption, human oversight and workflow automation; not presented as engineering/CTO experience.</w:t>
      </w:r>
    </w:p>
    <w:p>
      <w:pPr>
        <w:pStyle w:val="ListBullet"/>
        <w:spacing w:after="20" w:line="245" w:lineRule="auto"/>
        <w:ind w:left="288" w:hanging="158"/>
      </w:pPr>
      <w:r>
        <w:rPr>
          <w:rFonts w:ascii="Aptos" w:hAnsi="Aptos"/>
          <w:sz w:val="17"/>
        </w:rPr>
        <w:t>Stakeholder and client-facing work: senior bank executives, regulators, institutional partners, vendors, investors and cross-functional technology/business teams.</w:t>
      </w:r>
    </w:p>
    <w:p>
      <w:pPr>
        <w:spacing w:before="140" w:after="60" w:line="250" w:lineRule="auto"/>
        <w:pBdr>
          <w:bottom w:val="single" w:sz="5" w:color="C8DDDC"/>
        </w:pBdr>
      </w:pPr>
      <w:r>
        <w:rPr>
          <w:rFonts w:ascii="Aptos" w:hAnsi="Aptos"/>
          <w:b/>
          <w:color w:val="187D7F"/>
          <w:sz w:val="20"/>
        </w:rPr>
        <w:t>EDUCATION &amp; PROFESSIONAL DEVELOPMENT</w:t>
      </w:r>
    </w:p>
    <w:p>
      <w:pPr>
        <w:spacing w:before="0" w:after="40" w:line="250" w:lineRule="auto"/>
      </w:pPr>
      <w:r>
        <w:rPr>
          <w:rFonts w:ascii="Aptos" w:hAnsi="Aptos"/>
          <w:b w:val="0"/>
          <w:color w:val="1A3251"/>
          <w:sz w:val="17"/>
        </w:rPr>
        <w:t>MBA, Global Management — ESLSCA Business School (2018)  |  Bachelor’s Degree, Accounting — Ain Shams University (2003)</w:t>
      </w:r>
    </w:p>
    <w:p>
      <w:pPr>
        <w:spacing w:before="0" w:after="60" w:line="250" w:lineRule="auto"/>
      </w:pPr>
      <w:r>
        <w:rPr>
          <w:rFonts w:ascii="Aptos" w:hAnsi="Aptos"/>
          <w:b w:val="0"/>
          <w:color w:val="1A3251"/>
          <w:sz w:val="17"/>
        </w:rPr>
        <w:t>AI professional learning: Anthropic Claude 101; Teaching the AI Fluency Framework (as previously provided).  |  Languages: Arabic (native), English (professional).</w:t>
      </w:r>
    </w:p>
    <w:p>
      <w:pPr>
        <w:spacing w:before="140" w:after="60" w:line="250" w:lineRule="auto"/>
        <w:pBdr>
          <w:bottom w:val="single" w:sz="5" w:color="C8DDDC"/>
        </w:pBdr>
      </w:pPr>
      <w:r>
        <w:rPr>
          <w:rFonts w:ascii="Aptos" w:hAnsi="Aptos"/>
          <w:b/>
          <w:color w:val="187D7F"/>
          <w:sz w:val="20"/>
        </w:rPr>
        <w:t>CAREER INTERESTS</w:t>
      </w:r>
    </w:p>
    <w:p>
      <w:pPr>
        <w:spacing w:before="0" w:after="40" w:line="250" w:lineRule="auto"/>
      </w:pPr>
      <w:r>
        <w:rPr>
          <w:rFonts w:ascii="Aptos" w:hAnsi="Aptos"/>
          <w:b w:val="0"/>
          <w:color w:val="1A3251"/>
          <w:sz w:val="17"/>
        </w:rPr>
        <w:t>Director / Senior Manager / Head-level mandates in Financial Services Advisory, Digital &amp; Business Transformation, Payments Product Leadership, Fintech Innovation, Strategic Partnerships, or technology-enabled financial-services transformation. Open to UAE and wider GCC opportunities.</w:t>
      </w:r>
    </w:p>
    <w:sectPr w:rsidR="00FC693F" w:rsidRPr="0006063C" w:rsidSect="00034616">
      <w:footerReference w:type="default" r:id="rId9"/>
      <w:pgSz w:w="12240" w:h="15840"/>
      <w:pgMar w:top="749" w:right="907" w:bottom="72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F6871"/>
        <w:sz w:val="14"/>
      </w:rPr>
      <w:t>Khalid Gabr  •  Confidential Executive Profile  •  ADGM Virtual Career Event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color w:val="1A3251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